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jc w:val="left"/>
        <w:rPr>
          <w:rStyle w:val="6"/>
          <w:rFonts w:hint="eastAsia" w:ascii="仿宋_GB2312" w:hAnsi="宋体" w:eastAsia="仿宋_GB2312" w:cs="仿宋_GB2312"/>
          <w:i w:val="0"/>
          <w:color w:val="000000"/>
          <w:kern w:val="0"/>
          <w:sz w:val="32"/>
          <w:szCs w:val="32"/>
          <w:shd w:val="clear" w:color="auto" w:fill="FFFFFF"/>
          <w:lang w:bidi="ar"/>
        </w:rPr>
      </w:pPr>
      <w:r>
        <w:rPr>
          <w:rStyle w:val="6"/>
          <w:rFonts w:hint="eastAsia" w:ascii="仿宋_GB2312" w:hAnsi="宋体" w:eastAsia="仿宋_GB2312" w:cs="仿宋_GB2312"/>
          <w:i w:val="0"/>
          <w:color w:val="000000"/>
          <w:kern w:val="0"/>
          <w:sz w:val="32"/>
          <w:szCs w:val="32"/>
          <w:shd w:val="clear" w:color="auto" w:fill="FFFFFF"/>
          <w:lang w:bidi="ar"/>
        </w:rPr>
        <w:t>附件1</w:t>
      </w:r>
    </w:p>
    <w:p>
      <w:pPr>
        <w:widowControl/>
        <w:spacing w:line="600" w:lineRule="exact"/>
        <w:jc w:val="center"/>
        <w:rPr>
          <w:rStyle w:val="6"/>
          <w:rFonts w:ascii="方正小标宋简体" w:hAnsi="方正小标宋简体" w:eastAsia="方正小标宋简体" w:cs="方正小标宋简体"/>
          <w:i w:val="0"/>
          <w:color w:val="000000"/>
          <w:kern w:val="0"/>
          <w:sz w:val="44"/>
          <w:szCs w:val="44"/>
          <w:shd w:val="clear" w:color="auto" w:fill="FFFFFF"/>
          <w:lang w:bidi="ar"/>
        </w:rPr>
      </w:pPr>
      <w:r>
        <w:rPr>
          <w:rStyle w:val="6"/>
          <w:rFonts w:hint="eastAsia" w:ascii="方正小标宋简体" w:hAnsi="方正小标宋简体" w:eastAsia="方正小标宋简体" w:cs="方正小标宋简体"/>
          <w:i w:val="0"/>
          <w:color w:val="000000"/>
          <w:kern w:val="0"/>
          <w:sz w:val="44"/>
          <w:szCs w:val="44"/>
          <w:shd w:val="clear" w:color="auto" w:fill="FFFFFF"/>
          <w:lang w:bidi="ar"/>
        </w:rPr>
        <w:t>评分标准</w:t>
      </w:r>
    </w:p>
    <w:tbl>
      <w:tblPr>
        <w:tblStyle w:val="4"/>
        <w:tblW w:w="963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276"/>
        <w:gridCol w:w="709"/>
        <w:gridCol w:w="5953"/>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spacing w:line="276" w:lineRule="auto"/>
              <w:jc w:val="center"/>
              <w:rPr>
                <w:rFonts w:hint="eastAsia" w:ascii="楷体_GB2312" w:hAnsi="楷体_GB2312" w:eastAsia="楷体_GB2312" w:cs="楷体_GB2312"/>
                <w:b/>
                <w:bCs/>
                <w:sz w:val="22"/>
                <w:szCs w:val="24"/>
              </w:rPr>
            </w:pPr>
            <w:bookmarkStart w:id="0" w:name="OLE_LINK1"/>
            <w:bookmarkStart w:id="1" w:name="OLE_LINK2"/>
            <w:r>
              <w:rPr>
                <w:rFonts w:hint="eastAsia" w:ascii="楷体_GB2312" w:hAnsi="楷体_GB2312" w:eastAsia="楷体_GB2312" w:cs="楷体_GB2312"/>
                <w:b/>
                <w:bCs/>
                <w:sz w:val="22"/>
                <w:szCs w:val="24"/>
              </w:rPr>
              <w:t>序号</w:t>
            </w:r>
          </w:p>
        </w:tc>
        <w:tc>
          <w:tcPr>
            <w:tcW w:w="1276" w:type="dxa"/>
            <w:vAlign w:val="center"/>
          </w:tcPr>
          <w:p>
            <w:pPr>
              <w:spacing w:line="276" w:lineRule="auto"/>
              <w:jc w:val="center"/>
              <w:rPr>
                <w:rFonts w:hint="eastAsia" w:ascii="楷体_GB2312" w:hAnsi="楷体_GB2312" w:eastAsia="楷体_GB2312" w:cs="楷体_GB2312"/>
                <w:b/>
                <w:bCs/>
                <w:sz w:val="22"/>
                <w:szCs w:val="24"/>
              </w:rPr>
            </w:pPr>
            <w:r>
              <w:rPr>
                <w:rFonts w:hint="eastAsia" w:ascii="楷体_GB2312" w:hAnsi="楷体_GB2312" w:eastAsia="楷体_GB2312" w:cs="楷体_GB2312"/>
                <w:b/>
                <w:bCs/>
                <w:sz w:val="22"/>
                <w:szCs w:val="24"/>
              </w:rPr>
              <w:t>评分因素及权重</w:t>
            </w:r>
          </w:p>
        </w:tc>
        <w:tc>
          <w:tcPr>
            <w:tcW w:w="709" w:type="dxa"/>
            <w:vAlign w:val="center"/>
          </w:tcPr>
          <w:p>
            <w:pPr>
              <w:spacing w:line="276" w:lineRule="auto"/>
              <w:jc w:val="center"/>
              <w:rPr>
                <w:rFonts w:hint="eastAsia" w:ascii="楷体_GB2312" w:hAnsi="楷体_GB2312" w:eastAsia="楷体_GB2312" w:cs="楷体_GB2312"/>
                <w:b/>
                <w:bCs/>
                <w:sz w:val="22"/>
                <w:szCs w:val="24"/>
              </w:rPr>
            </w:pPr>
            <w:r>
              <w:rPr>
                <w:rFonts w:hint="eastAsia" w:ascii="楷体_GB2312" w:hAnsi="楷体_GB2312" w:eastAsia="楷体_GB2312" w:cs="楷体_GB2312"/>
                <w:b/>
                <w:bCs/>
                <w:sz w:val="22"/>
                <w:szCs w:val="24"/>
              </w:rPr>
              <w:t>分值</w:t>
            </w:r>
          </w:p>
        </w:tc>
        <w:tc>
          <w:tcPr>
            <w:tcW w:w="5953" w:type="dxa"/>
            <w:vAlign w:val="center"/>
          </w:tcPr>
          <w:p>
            <w:pPr>
              <w:spacing w:line="276" w:lineRule="auto"/>
              <w:jc w:val="center"/>
              <w:rPr>
                <w:rFonts w:hint="eastAsia" w:ascii="楷体_GB2312" w:hAnsi="楷体_GB2312" w:eastAsia="楷体_GB2312" w:cs="楷体_GB2312"/>
                <w:b/>
                <w:bCs/>
                <w:sz w:val="22"/>
                <w:szCs w:val="24"/>
              </w:rPr>
            </w:pPr>
            <w:r>
              <w:rPr>
                <w:rFonts w:hint="eastAsia" w:ascii="楷体_GB2312" w:hAnsi="楷体_GB2312" w:eastAsia="楷体_GB2312" w:cs="楷体_GB2312"/>
                <w:b/>
                <w:bCs/>
                <w:sz w:val="22"/>
                <w:szCs w:val="24"/>
              </w:rPr>
              <w:t>评分标准</w:t>
            </w:r>
          </w:p>
        </w:tc>
        <w:tc>
          <w:tcPr>
            <w:tcW w:w="992" w:type="dxa"/>
            <w:vAlign w:val="center"/>
          </w:tcPr>
          <w:p>
            <w:pPr>
              <w:spacing w:line="276" w:lineRule="auto"/>
              <w:jc w:val="center"/>
              <w:rPr>
                <w:rFonts w:hint="eastAsia" w:ascii="楷体_GB2312" w:hAnsi="楷体_GB2312" w:eastAsia="楷体_GB2312" w:cs="楷体_GB2312"/>
                <w:b/>
                <w:bCs/>
                <w:sz w:val="22"/>
                <w:szCs w:val="24"/>
              </w:rPr>
            </w:pPr>
            <w:r>
              <w:rPr>
                <w:rFonts w:hint="eastAsia" w:ascii="楷体_GB2312" w:hAnsi="楷体_GB2312" w:eastAsia="楷体_GB2312" w:cs="楷体_GB2312"/>
                <w:b/>
                <w:bCs/>
                <w:sz w:val="22"/>
                <w:szCs w:val="24"/>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一</w:t>
            </w:r>
          </w:p>
        </w:tc>
        <w:tc>
          <w:tcPr>
            <w:tcW w:w="1276"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价格</w:t>
            </w:r>
          </w:p>
        </w:tc>
        <w:tc>
          <w:tcPr>
            <w:tcW w:w="709"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15</w:t>
            </w:r>
          </w:p>
        </w:tc>
        <w:tc>
          <w:tcPr>
            <w:tcW w:w="5953" w:type="dxa"/>
            <w:vAlign w:val="center"/>
          </w:tcPr>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1.经评标委员会评审，通过资格性和符合性审查，且投标报价最低的投标人的投标报价作为评标基准价；</w:t>
            </w:r>
          </w:p>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2.投标报价得分=(评标基准价／投标报价)×15</w:t>
            </w:r>
          </w:p>
        </w:tc>
        <w:tc>
          <w:tcPr>
            <w:tcW w:w="992" w:type="dxa"/>
            <w:vAlign w:val="center"/>
          </w:tcPr>
          <w:p>
            <w:pPr>
              <w:spacing w:line="276" w:lineRule="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704"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二</w:t>
            </w:r>
          </w:p>
        </w:tc>
        <w:tc>
          <w:tcPr>
            <w:tcW w:w="1276"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测评方案响应性</w:t>
            </w:r>
          </w:p>
        </w:tc>
        <w:tc>
          <w:tcPr>
            <w:tcW w:w="709"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10</w:t>
            </w:r>
          </w:p>
        </w:tc>
        <w:tc>
          <w:tcPr>
            <w:tcW w:w="6945" w:type="dxa"/>
            <w:gridSpan w:val="2"/>
            <w:vAlign w:val="center"/>
          </w:tcPr>
          <w:p>
            <w:pPr>
              <w:spacing w:line="276" w:lineRule="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704" w:type="dxa"/>
            <w:shd w:val="clear" w:color="auto" w:fill="auto"/>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76" w:type="dxa"/>
            <w:shd w:val="clear" w:color="auto" w:fill="auto"/>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测评方案</w:t>
            </w:r>
          </w:p>
        </w:tc>
        <w:tc>
          <w:tcPr>
            <w:tcW w:w="709" w:type="dxa"/>
            <w:shd w:val="clear" w:color="auto" w:fill="auto"/>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5953" w:type="dxa"/>
            <w:shd w:val="clear" w:color="auto" w:fill="auto"/>
          </w:tcPr>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1.测评方案中包含测评流程、测评方法、测评指标和配合需求的得5分，未包含完整的得3分，一项未包含的不得分；</w:t>
            </w:r>
          </w:p>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2.正确理解网络安全等级测评，测评思路清晰、测评内容完整、测评重点突出，针对每点测评要求项提出完善的测评方法，方法全面、合理，并具有很强的针对性的得5分，</w:t>
            </w:r>
            <w:r>
              <w:rPr>
                <w:rFonts w:hint="eastAsia" w:ascii="仿宋_GB2312" w:hAnsi="仿宋_GB2312" w:eastAsia="仿宋_GB2312" w:cs="仿宋_GB2312"/>
                <w:color w:val="000000"/>
                <w:sz w:val="24"/>
                <w:szCs w:val="24"/>
              </w:rPr>
              <w:t>较为全面、合理，方法针对性较强得</w:t>
            </w:r>
            <w:r>
              <w:rPr>
                <w:rFonts w:hint="eastAsia" w:ascii="仿宋_GB2312" w:hAnsi="仿宋_GB2312" w:eastAsia="仿宋_GB2312" w:cs="仿宋_GB2312"/>
                <w:sz w:val="24"/>
                <w:szCs w:val="24"/>
              </w:rPr>
              <w:t>3分，未提供的不得分；</w:t>
            </w:r>
          </w:p>
        </w:tc>
        <w:tc>
          <w:tcPr>
            <w:tcW w:w="992" w:type="dxa"/>
            <w:vAlign w:val="center"/>
          </w:tcPr>
          <w:p>
            <w:pPr>
              <w:spacing w:line="276" w:lineRule="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三</w:t>
            </w:r>
          </w:p>
        </w:tc>
        <w:tc>
          <w:tcPr>
            <w:tcW w:w="1276"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专业人员技术力量</w:t>
            </w:r>
          </w:p>
        </w:tc>
        <w:tc>
          <w:tcPr>
            <w:tcW w:w="709"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40</w:t>
            </w:r>
          </w:p>
        </w:tc>
        <w:tc>
          <w:tcPr>
            <w:tcW w:w="6945" w:type="dxa"/>
            <w:gridSpan w:val="2"/>
            <w:vAlign w:val="center"/>
          </w:tcPr>
          <w:p>
            <w:pPr>
              <w:spacing w:line="276" w:lineRule="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76" w:type="dxa"/>
            <w:vMerge w:val="restart"/>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投标人机构技术团队情况</w:t>
            </w:r>
          </w:p>
        </w:tc>
        <w:tc>
          <w:tcPr>
            <w:tcW w:w="709"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5953" w:type="dxa"/>
            <w:vAlign w:val="center"/>
          </w:tcPr>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拟派技术负责人1名具有:</w:t>
            </w:r>
          </w:p>
          <w:p>
            <w:pPr>
              <w:pStyle w:val="9"/>
              <w:widowControl/>
              <w:numPr>
                <w:numId w:val="0"/>
              </w:numPr>
              <w:spacing w:line="276" w:lineRule="auto"/>
              <w:ind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信息安全等级测评师（高级）证书或网络安全等级测评师（高级）证书；</w:t>
            </w:r>
          </w:p>
          <w:p>
            <w:pPr>
              <w:pStyle w:val="9"/>
              <w:widowControl/>
              <w:numPr>
                <w:numId w:val="0"/>
              </w:numPr>
              <w:spacing w:line="276" w:lineRule="auto"/>
              <w:ind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信息安全测评师；</w:t>
            </w:r>
          </w:p>
          <w:p>
            <w:pPr>
              <w:pStyle w:val="9"/>
              <w:widowControl/>
              <w:numPr>
                <w:numId w:val="0"/>
              </w:numPr>
              <w:spacing w:line="276" w:lineRule="auto"/>
              <w:ind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注册信息安全专业人员（CISP）证书；</w:t>
            </w:r>
          </w:p>
          <w:p>
            <w:pPr>
              <w:pStyle w:val="9"/>
              <w:widowControl/>
              <w:numPr>
                <w:numId w:val="0"/>
              </w:numPr>
              <w:spacing w:line="276" w:lineRule="auto"/>
              <w:ind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网络与信息安全应急人员（管理I级）；</w:t>
            </w:r>
          </w:p>
          <w:p>
            <w:pPr>
              <w:pStyle w:val="9"/>
              <w:widowControl/>
              <w:numPr>
                <w:numId w:val="0"/>
              </w:numPr>
              <w:spacing w:line="276" w:lineRule="auto"/>
              <w:ind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注册云安全系统认证专家（CCSSP）证书。</w:t>
            </w:r>
          </w:p>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以上证书每提供一个得4分，最多得20分。未提供不得分。</w:t>
            </w:r>
          </w:p>
        </w:tc>
        <w:tc>
          <w:tcPr>
            <w:tcW w:w="992" w:type="dxa"/>
            <w:vMerge w:val="restart"/>
            <w:vAlign w:val="center"/>
          </w:tcPr>
          <w:p>
            <w:pPr>
              <w:spacing w:line="276"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以上人员提供在职证明，如：社保、劳动合同等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76" w:type="dxa"/>
            <w:vMerge w:val="continue"/>
            <w:vAlign w:val="center"/>
          </w:tcPr>
          <w:p>
            <w:pPr>
              <w:spacing w:line="276" w:lineRule="auto"/>
              <w:jc w:val="center"/>
              <w:rPr>
                <w:rFonts w:hint="eastAsia" w:ascii="仿宋_GB2312" w:hAnsi="仿宋_GB2312" w:eastAsia="仿宋_GB2312" w:cs="仿宋_GB2312"/>
                <w:sz w:val="24"/>
                <w:szCs w:val="24"/>
              </w:rPr>
            </w:pPr>
          </w:p>
        </w:tc>
        <w:tc>
          <w:tcPr>
            <w:tcW w:w="709"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5953" w:type="dxa"/>
            <w:vAlign w:val="center"/>
          </w:tcPr>
          <w:p>
            <w:pPr>
              <w:pStyle w:val="9"/>
              <w:widowControl/>
              <w:numPr>
                <w:ilvl w:val="0"/>
                <w:numId w:val="1"/>
              </w:numPr>
              <w:spacing w:line="276" w:lineRule="auto"/>
              <w:ind w:left="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拟派项目经理1名具有：</w:t>
            </w:r>
          </w:p>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信息安全等级测评师（高级）证书或网络安全等级测评师（高级）证书；</w:t>
            </w:r>
          </w:p>
          <w:p>
            <w:pPr>
              <w:pStyle w:val="9"/>
              <w:widowControl/>
              <w:numPr>
                <w:ilvl w:val="0"/>
                <w:numId w:val="1"/>
              </w:numPr>
              <w:spacing w:line="276" w:lineRule="auto"/>
              <w:ind w:left="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网络与信息安全应急人员（管理I级）；</w:t>
            </w:r>
          </w:p>
          <w:p>
            <w:pPr>
              <w:pStyle w:val="9"/>
              <w:widowControl/>
              <w:numPr>
                <w:ilvl w:val="0"/>
                <w:numId w:val="1"/>
              </w:numPr>
              <w:spacing w:line="276" w:lineRule="auto"/>
              <w:ind w:left="0" w:firstLine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信息安全测评师；</w:t>
            </w:r>
          </w:p>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4</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计算机软件产品检验员证书；</w:t>
            </w:r>
          </w:p>
          <w:p>
            <w:pP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r>
              <w:rPr>
                <w:rFonts w:hint="eastAsia" w:ascii="仿宋_GB2312" w:hAnsi="仿宋_GB2312" w:eastAsia="仿宋_GB2312" w:cs="仿宋_GB2312"/>
                <w:sz w:val="24"/>
                <w:szCs w:val="24"/>
                <w:lang w:val="en-US" w:eastAsia="zh-CN"/>
              </w:rPr>
              <w:t>.</w:t>
            </w:r>
            <w:r>
              <w:rPr>
                <w:rFonts w:hint="eastAsia" w:ascii="仿宋_GB2312" w:hAnsi="仿宋_GB2312" w:eastAsia="仿宋_GB2312" w:cs="仿宋_GB2312"/>
                <w:sz w:val="24"/>
                <w:szCs w:val="24"/>
              </w:rPr>
              <w:t>信息安全保障人员（CISAW）（认证方向：应急服务）；</w:t>
            </w:r>
          </w:p>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以上证书每提供一个得2分，最多得10分。未提供不得分。</w:t>
            </w:r>
          </w:p>
          <w:p>
            <w:pPr>
              <w:pStyle w:val="11"/>
              <w:spacing w:before="0" w:after="0" w:line="276" w:lineRule="auto"/>
              <w:rPr>
                <w:rFonts w:hint="eastAsia" w:ascii="仿宋_GB2312" w:hAnsi="仿宋_GB2312" w:eastAsia="仿宋_GB2312" w:cs="仿宋_GB2312"/>
                <w:b w:val="0"/>
                <w:sz w:val="24"/>
                <w:szCs w:val="24"/>
              </w:rPr>
            </w:pPr>
          </w:p>
        </w:tc>
        <w:tc>
          <w:tcPr>
            <w:tcW w:w="992" w:type="dxa"/>
            <w:vMerge w:val="continue"/>
            <w:vAlign w:val="center"/>
          </w:tcPr>
          <w:p>
            <w:pPr>
              <w:spacing w:line="276" w:lineRule="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276" w:type="dxa"/>
            <w:vMerge w:val="continue"/>
            <w:vAlign w:val="center"/>
          </w:tcPr>
          <w:p>
            <w:pPr>
              <w:spacing w:line="276" w:lineRule="auto"/>
              <w:jc w:val="center"/>
              <w:rPr>
                <w:rFonts w:hint="eastAsia" w:ascii="仿宋_GB2312" w:hAnsi="仿宋_GB2312" w:eastAsia="仿宋_GB2312" w:cs="仿宋_GB2312"/>
                <w:sz w:val="24"/>
                <w:szCs w:val="24"/>
              </w:rPr>
            </w:pPr>
          </w:p>
        </w:tc>
        <w:tc>
          <w:tcPr>
            <w:tcW w:w="709"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5953" w:type="dxa"/>
            <w:vAlign w:val="center"/>
          </w:tcPr>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拟派测试团队人员在具有信息安全等级测评师证书的同时具有以下证书：</w:t>
            </w:r>
          </w:p>
          <w:p>
            <w:pPr>
              <w:pStyle w:val="9"/>
              <w:widowControl/>
              <w:numPr>
                <w:numId w:val="0"/>
              </w:numPr>
              <w:spacing w:line="276" w:lineRule="auto"/>
              <w:ind w:leftChars="0"/>
              <w:jc w:val="left"/>
              <w:rPr>
                <w:rFonts w:hint="eastAsia" w:ascii="仿宋_GB2312" w:hAnsi="仿宋_GB2312" w:eastAsia="仿宋_GB2312" w:cs="仿宋_GB2312"/>
                <w:sz w:val="24"/>
                <w:szCs w:val="24"/>
                <w:lang w:val="en-US" w:eastAsia="zh-CN"/>
              </w:rPr>
            </w:pPr>
            <w:r>
              <w:rPr>
                <w:rFonts w:hint="eastAsia" w:ascii="仿宋_GB2312" w:hAnsi="仿宋_GB2312" w:eastAsia="仿宋_GB2312" w:cs="仿宋_GB2312"/>
                <w:sz w:val="24"/>
                <w:szCs w:val="24"/>
                <w:lang w:val="en-US" w:eastAsia="zh-CN"/>
              </w:rPr>
              <w:t>1.</w:t>
            </w:r>
            <w:r>
              <w:rPr>
                <w:rFonts w:hint="eastAsia" w:ascii="仿宋_GB2312" w:hAnsi="仿宋_GB2312" w:eastAsia="仿宋_GB2312" w:cs="仿宋_GB2312"/>
                <w:sz w:val="24"/>
                <w:szCs w:val="24"/>
              </w:rPr>
              <w:t>网络与信息安全应急人员</w:t>
            </w:r>
            <w:r>
              <w:rPr>
                <w:rFonts w:hint="eastAsia" w:ascii="仿宋_GB2312" w:hAnsi="仿宋_GB2312" w:eastAsia="仿宋_GB2312" w:cs="仿宋_GB2312"/>
                <w:sz w:val="24"/>
                <w:szCs w:val="24"/>
                <w:lang w:val="en-US" w:eastAsia="zh-CN"/>
              </w:rPr>
              <w:t>;</w:t>
            </w:r>
          </w:p>
          <w:p>
            <w:pPr>
              <w:pStyle w:val="9"/>
              <w:widowControl/>
              <w:numPr>
                <w:numId w:val="0"/>
              </w:numPr>
              <w:spacing w:line="276" w:lineRule="auto"/>
              <w:ind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2.</w:t>
            </w:r>
            <w:r>
              <w:rPr>
                <w:rFonts w:hint="eastAsia" w:ascii="仿宋_GB2312" w:hAnsi="仿宋_GB2312" w:eastAsia="仿宋_GB2312" w:cs="仿宋_GB2312"/>
                <w:sz w:val="24"/>
                <w:szCs w:val="24"/>
              </w:rPr>
              <w:t>注册网络安全专业防御人员（NSATP-D）；</w:t>
            </w:r>
          </w:p>
          <w:p>
            <w:pPr>
              <w:pStyle w:val="9"/>
              <w:widowControl/>
              <w:numPr>
                <w:numId w:val="0"/>
              </w:numPr>
              <w:spacing w:line="276" w:lineRule="auto"/>
              <w:ind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3.</w:t>
            </w:r>
            <w:r>
              <w:rPr>
                <w:rFonts w:hint="eastAsia" w:ascii="仿宋_GB2312" w:hAnsi="仿宋_GB2312" w:eastAsia="仿宋_GB2312" w:cs="仿宋_GB2312"/>
                <w:sz w:val="24"/>
                <w:szCs w:val="24"/>
              </w:rPr>
              <w:t>信息安全保障人员（CISAW）（认证方向：工控网络安全）；</w:t>
            </w:r>
          </w:p>
          <w:p>
            <w:pPr>
              <w:pStyle w:val="9"/>
              <w:widowControl/>
              <w:numPr>
                <w:numId w:val="0"/>
              </w:numPr>
              <w:spacing w:line="276" w:lineRule="auto"/>
              <w:ind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4.</w:t>
            </w:r>
            <w:r>
              <w:rPr>
                <w:rFonts w:hint="eastAsia" w:ascii="仿宋_GB2312" w:hAnsi="仿宋_GB2312" w:eastAsia="仿宋_GB2312" w:cs="仿宋_GB2312"/>
                <w:sz w:val="24"/>
                <w:szCs w:val="24"/>
              </w:rPr>
              <w:t>注册云安全系统认证专家（CCSSP）证书；</w:t>
            </w:r>
          </w:p>
          <w:p>
            <w:pPr>
              <w:pStyle w:val="9"/>
              <w:widowControl/>
              <w:numPr>
                <w:numId w:val="0"/>
              </w:numPr>
              <w:spacing w:line="276" w:lineRule="auto"/>
              <w:ind w:leftChars="0"/>
              <w:jc w:val="left"/>
              <w:rPr>
                <w:rFonts w:hint="eastAsia" w:ascii="仿宋_GB2312" w:hAnsi="仿宋_GB2312" w:eastAsia="仿宋_GB2312" w:cs="仿宋_GB2312"/>
                <w:sz w:val="24"/>
                <w:szCs w:val="24"/>
              </w:rPr>
            </w:pPr>
            <w:r>
              <w:rPr>
                <w:rFonts w:hint="eastAsia" w:ascii="仿宋_GB2312" w:hAnsi="仿宋_GB2312" w:eastAsia="仿宋_GB2312" w:cs="仿宋_GB2312"/>
                <w:sz w:val="24"/>
                <w:szCs w:val="24"/>
                <w:lang w:val="en-US" w:eastAsia="zh-CN"/>
              </w:rPr>
              <w:t>5.</w:t>
            </w:r>
            <w:r>
              <w:rPr>
                <w:rFonts w:hint="eastAsia" w:ascii="仿宋_GB2312" w:hAnsi="仿宋_GB2312" w:eastAsia="仿宋_GB2312" w:cs="仿宋_GB2312"/>
                <w:sz w:val="24"/>
                <w:szCs w:val="24"/>
              </w:rPr>
              <w:t>计算机技术与软件专业技术资格（信息安全工程师）证书.</w:t>
            </w:r>
          </w:p>
          <w:p>
            <w:pPr>
              <w:spacing w:line="276" w:lineRule="auto"/>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以上证书全部具有得10分，缺一个扣2分，扣完为止。</w:t>
            </w:r>
          </w:p>
        </w:tc>
        <w:tc>
          <w:tcPr>
            <w:tcW w:w="992" w:type="dxa"/>
            <w:vMerge w:val="continue"/>
            <w:vAlign w:val="center"/>
          </w:tcPr>
          <w:p>
            <w:pPr>
              <w:spacing w:line="276" w:lineRule="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jc w:val="center"/>
        </w:trPr>
        <w:tc>
          <w:tcPr>
            <w:tcW w:w="704"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四</w:t>
            </w:r>
          </w:p>
        </w:tc>
        <w:tc>
          <w:tcPr>
            <w:tcW w:w="1276"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商务部分</w:t>
            </w:r>
          </w:p>
        </w:tc>
        <w:tc>
          <w:tcPr>
            <w:tcW w:w="709" w:type="dxa"/>
            <w:vAlign w:val="center"/>
          </w:tcPr>
          <w:p>
            <w:pPr>
              <w:spacing w:line="276" w:lineRule="auto"/>
              <w:jc w:val="center"/>
              <w:rPr>
                <w:rFonts w:hint="eastAsia" w:ascii="仿宋_GB2312" w:hAnsi="仿宋_GB2312" w:eastAsia="仿宋_GB2312" w:cs="仿宋_GB2312"/>
                <w:b/>
                <w:bCs/>
                <w:sz w:val="24"/>
                <w:szCs w:val="24"/>
              </w:rPr>
            </w:pPr>
            <w:r>
              <w:rPr>
                <w:rFonts w:hint="eastAsia" w:ascii="仿宋_GB2312" w:hAnsi="仿宋_GB2312" w:eastAsia="仿宋_GB2312" w:cs="仿宋_GB2312"/>
                <w:b/>
                <w:bCs/>
                <w:sz w:val="24"/>
                <w:szCs w:val="24"/>
              </w:rPr>
              <w:t>35</w:t>
            </w:r>
          </w:p>
        </w:tc>
        <w:tc>
          <w:tcPr>
            <w:tcW w:w="6945" w:type="dxa"/>
            <w:gridSpan w:val="2"/>
            <w:vAlign w:val="center"/>
          </w:tcPr>
          <w:p>
            <w:pPr>
              <w:spacing w:line="276" w:lineRule="auto"/>
              <w:rPr>
                <w:rFonts w:hint="eastAsia" w:ascii="仿宋_GB2312" w:hAnsi="仿宋_GB2312" w:eastAsia="仿宋_GB2312" w:cs="仿宋_GB2312"/>
                <w:bCs/>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8" w:hRule="atLeast"/>
          <w:jc w:val="center"/>
        </w:trPr>
        <w:tc>
          <w:tcPr>
            <w:tcW w:w="704"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276"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w:t>
            </w:r>
          </w:p>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业绩</w:t>
            </w:r>
          </w:p>
        </w:tc>
        <w:tc>
          <w:tcPr>
            <w:tcW w:w="709"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5953" w:type="dxa"/>
            <w:vAlign w:val="center"/>
          </w:tcPr>
          <w:p>
            <w:pPr>
              <w:pStyle w:val="10"/>
              <w:widowControl/>
              <w:spacing w:line="276" w:lineRule="auto"/>
              <w:ind w:firstLine="0" w:firstLineChars="0"/>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2019年1月1日以来，具有信息安全测评项目案例，每具有1个合同得1分，最多得5分；</w:t>
            </w:r>
          </w:p>
        </w:tc>
        <w:tc>
          <w:tcPr>
            <w:tcW w:w="992" w:type="dxa"/>
            <w:vMerge w:val="restart"/>
            <w:vAlign w:val="center"/>
          </w:tcPr>
          <w:p>
            <w:pPr>
              <w:spacing w:line="276"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附有效证明文件复印件（加盖投标人公章，原件备查）。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jc w:val="center"/>
        </w:trPr>
        <w:tc>
          <w:tcPr>
            <w:tcW w:w="704"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276"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投标人机构情况</w:t>
            </w:r>
          </w:p>
        </w:tc>
        <w:tc>
          <w:tcPr>
            <w:tcW w:w="709" w:type="dxa"/>
            <w:vAlign w:val="center"/>
          </w:tcPr>
          <w:p>
            <w:pPr>
              <w:spacing w:line="276" w:lineRule="auto"/>
              <w:jc w:val="center"/>
              <w:rPr>
                <w:rFonts w:hint="eastAsia"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5953" w:type="dxa"/>
            <w:vAlign w:val="center"/>
          </w:tcPr>
          <w:p>
            <w:pPr>
              <w:spacing w:line="276"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lang w:val="en-US" w:eastAsia="zh-CN"/>
              </w:rPr>
              <w:t>1.</w:t>
            </w:r>
            <w:r>
              <w:rPr>
                <w:rFonts w:hint="eastAsia" w:ascii="仿宋_GB2312" w:hAnsi="仿宋_GB2312" w:eastAsia="仿宋_GB2312" w:cs="仿宋_GB2312"/>
                <w:bCs/>
                <w:sz w:val="24"/>
                <w:szCs w:val="24"/>
              </w:rPr>
              <w:t>具有ISO9001质量管理体系认证证书, 认证范围包括“评估测试服务”得6分；</w:t>
            </w:r>
          </w:p>
          <w:p>
            <w:pPr>
              <w:spacing w:line="276"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2</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rPr>
              <w:t>具有ISO20000信息技术服务管理体系证书, 认证范围包括“评估测试服务”得6分；</w:t>
            </w:r>
          </w:p>
          <w:p>
            <w:pPr>
              <w:spacing w:line="276"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3</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rPr>
              <w:t>具有ISO27001信息安全管理体系证书, 认证范围包括“评估测试服务”得6分；</w:t>
            </w:r>
          </w:p>
          <w:p>
            <w:pPr>
              <w:spacing w:line="276" w:lineRule="auto"/>
              <w:rPr>
                <w:rFonts w:hint="eastAsia" w:ascii="仿宋_GB2312" w:hAnsi="仿宋_GB2312" w:eastAsia="仿宋_GB2312" w:cs="仿宋_GB2312"/>
                <w:bCs/>
                <w:sz w:val="24"/>
                <w:szCs w:val="24"/>
              </w:rPr>
            </w:pPr>
            <w:r>
              <w:rPr>
                <w:rFonts w:hint="eastAsia" w:ascii="仿宋_GB2312" w:hAnsi="仿宋_GB2312" w:eastAsia="仿宋_GB2312" w:cs="仿宋_GB2312"/>
                <w:bCs/>
                <w:sz w:val="24"/>
                <w:szCs w:val="24"/>
              </w:rPr>
              <w:t>4</w:t>
            </w:r>
            <w:r>
              <w:rPr>
                <w:rFonts w:hint="eastAsia" w:ascii="仿宋_GB2312" w:hAnsi="仿宋_GB2312" w:eastAsia="仿宋_GB2312" w:cs="仿宋_GB2312"/>
                <w:bCs/>
                <w:sz w:val="24"/>
                <w:szCs w:val="24"/>
                <w:lang w:val="en-US" w:eastAsia="zh-CN"/>
              </w:rPr>
              <w:t>.</w:t>
            </w:r>
            <w:r>
              <w:rPr>
                <w:rFonts w:hint="eastAsia" w:ascii="仿宋_GB2312" w:hAnsi="仿宋_GB2312" w:eastAsia="仿宋_GB2312" w:cs="仿宋_GB2312"/>
                <w:bCs/>
                <w:sz w:val="24"/>
                <w:szCs w:val="24"/>
              </w:rPr>
              <w:t>投标人具有中国合格评定国家认可委员会颁发的检验机构认可证书（CNAS），认可范围为“信息系统网络安全等级保护测评”的得6分。</w:t>
            </w:r>
          </w:p>
          <w:p>
            <w:pPr>
              <w:pStyle w:val="11"/>
              <w:spacing w:before="0" w:after="0"/>
              <w:rPr>
                <w:rFonts w:hint="eastAsia" w:ascii="仿宋_GB2312" w:hAnsi="仿宋_GB2312" w:eastAsia="仿宋_GB2312" w:cs="仿宋_GB2312"/>
                <w:sz w:val="24"/>
                <w:szCs w:val="24"/>
              </w:rPr>
            </w:pPr>
            <w:r>
              <w:rPr>
                <w:rFonts w:hint="eastAsia" w:ascii="仿宋_GB2312" w:hAnsi="仿宋_GB2312" w:eastAsia="仿宋_GB2312" w:cs="仿宋_GB2312"/>
                <w:b w:val="0"/>
                <w:bCs/>
                <w:sz w:val="24"/>
                <w:szCs w:val="24"/>
              </w:rPr>
              <w:t>5</w:t>
            </w:r>
            <w:r>
              <w:rPr>
                <w:rFonts w:hint="eastAsia" w:ascii="仿宋_GB2312" w:hAnsi="仿宋_GB2312" w:eastAsia="仿宋_GB2312" w:cs="仿宋_GB2312"/>
                <w:b w:val="0"/>
                <w:bCs/>
                <w:sz w:val="24"/>
                <w:szCs w:val="24"/>
                <w:lang w:val="en-US" w:eastAsia="zh-CN"/>
              </w:rPr>
              <w:t>.</w:t>
            </w:r>
            <w:r>
              <w:rPr>
                <w:rFonts w:hint="eastAsia" w:ascii="仿宋_GB2312" w:hAnsi="仿宋_GB2312" w:eastAsia="仿宋_GB2312" w:cs="仿宋_GB2312"/>
                <w:b w:val="0"/>
                <w:bCs/>
                <w:sz w:val="24"/>
                <w:szCs w:val="24"/>
              </w:rPr>
              <w:t>投标人具有检验检测机构认证证书（检验检测能力范围：软件和信息系统安全等级保护测评等相关内容）的得6分。</w:t>
            </w:r>
          </w:p>
        </w:tc>
        <w:tc>
          <w:tcPr>
            <w:tcW w:w="992" w:type="dxa"/>
            <w:vMerge w:val="continue"/>
            <w:vAlign w:val="center"/>
          </w:tcPr>
          <w:p>
            <w:pPr>
              <w:spacing w:line="276" w:lineRule="auto"/>
              <w:rPr>
                <w:rFonts w:ascii="等线" w:hAnsi="等线" w:eastAsia="等线" w:cs="宋体"/>
              </w:rPr>
            </w:pPr>
          </w:p>
        </w:tc>
      </w:tr>
      <w:bookmarkEnd w:id="0"/>
      <w:bookmarkEnd w:id="1"/>
    </w:tbl>
    <w:p>
      <w:pPr>
        <w:spacing w:line="560" w:lineRule="exact"/>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auto"/>
    <w:pitch w:val="default"/>
    <w:sig w:usb0="00000001" w:usb1="080E0000" w:usb2="00000000" w:usb3="00000000" w:csb0="00040000" w:csb1="00000000"/>
  </w:font>
  <w:font w:name="Arial">
    <w:altName w:val="Times New Roman"/>
    <w:panose1 w:val="020B0604020202020204"/>
    <w:charset w:val="00"/>
    <w:family w:val="swiss"/>
    <w:pitch w:val="default"/>
    <w:sig w:usb0="00000000" w:usb1="00000000" w:usb2="00000009" w:usb3="00000000" w:csb0="000001FF" w:csb1="00000000"/>
  </w:font>
  <w:font w:name="方正小标宋简体">
    <w:panose1 w:val="02000000000000000000"/>
    <w:charset w:val="86"/>
    <w:family w:val="auto"/>
    <w:pitch w:val="default"/>
    <w:sig w:usb0="A00002BF" w:usb1="184F6CFA" w:usb2="00000012" w:usb3="00000000" w:csb0="00040001" w:csb1="00000000"/>
  </w:font>
  <w:font w:name="等线">
    <w:altName w:val="宋体"/>
    <w:panose1 w:val="02010600030101010101"/>
    <w:charset w:val="86"/>
    <w:family w:val="auto"/>
    <w:pitch w:val="default"/>
    <w:sig w:usb0="00000000" w:usb1="00000000" w:usb2="00000016" w:usb3="00000000" w:csb0="0004000F" w:csb1="00000000"/>
  </w:font>
  <w:font w:name="DejaVu Sans">
    <w:panose1 w:val="020B0603030804020204"/>
    <w:charset w:val="00"/>
    <w:family w:val="auto"/>
    <w:pitch w:val="default"/>
    <w:sig w:usb0="E7006EFF" w:usb1="D200FDFF" w:usb2="0A246029" w:usb3="0400200C" w:csb0="600001FF" w:csb1="DFFF0000"/>
  </w:font>
  <w:font w:name="楷体_GB2312">
    <w:panose1 w:val="02010609030101010101"/>
    <w:charset w:val="86"/>
    <w:family w:val="auto"/>
    <w:pitch w:val="default"/>
    <w:sig w:usb0="00000001" w:usb1="080E0000" w:usb2="00000000" w:usb3="00000000" w:csb0="00040000" w:csb1="00000000"/>
  </w:font>
  <w:font w:name="CESI仿宋-GB2312">
    <w:panose1 w:val="02000500000000000000"/>
    <w:charset w:val="86"/>
    <w:family w:val="auto"/>
    <w:pitch w:val="default"/>
    <w:sig w:usb0="800002AF" w:usb1="084F6CF8" w:usb2="00000010" w:usb3="00000000" w:csb0="0004000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C6F0E44"/>
    <w:multiLevelType w:val="multilevel"/>
    <w:tmpl w:val="4C6F0E44"/>
    <w:lvl w:ilvl="0" w:tentative="0">
      <w:start w:val="1"/>
      <w:numFmt w:val="decimal"/>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DEB99F3"/>
    <w:rsid w:val="00685B1F"/>
    <w:rsid w:val="00817254"/>
    <w:rsid w:val="00E56942"/>
    <w:rsid w:val="4FED4655"/>
    <w:rsid w:val="6DFBD978"/>
    <w:rsid w:val="8DDF3768"/>
    <w:rsid w:val="BC3731FB"/>
    <w:rsid w:val="EDEB99F3"/>
    <w:rsid w:val="FEB36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6">
    <w:name w:val="Emphasis"/>
    <w:basedOn w:val="5"/>
    <w:qFormat/>
    <w:uiPriority w:val="20"/>
    <w:rPr>
      <w:i/>
    </w:rPr>
  </w:style>
  <w:style w:type="character" w:customStyle="1" w:styleId="7">
    <w:name w:val="页眉 字符"/>
    <w:basedOn w:val="5"/>
    <w:link w:val="3"/>
    <w:qFormat/>
    <w:uiPriority w:val="0"/>
    <w:rPr>
      <w:kern w:val="2"/>
      <w:sz w:val="18"/>
      <w:szCs w:val="18"/>
    </w:rPr>
  </w:style>
  <w:style w:type="character" w:customStyle="1" w:styleId="8">
    <w:name w:val="页脚 字符"/>
    <w:basedOn w:val="5"/>
    <w:link w:val="2"/>
    <w:qFormat/>
    <w:uiPriority w:val="0"/>
    <w:rPr>
      <w:kern w:val="2"/>
      <w:sz w:val="18"/>
      <w:szCs w:val="18"/>
    </w:rPr>
  </w:style>
  <w:style w:type="paragraph" w:styleId="9">
    <w:name w:val="List Paragraph"/>
    <w:basedOn w:val="1"/>
    <w:qFormat/>
    <w:uiPriority w:val="34"/>
    <w:pPr>
      <w:ind w:firstLine="420" w:firstLineChars="200"/>
    </w:pPr>
    <w:rPr>
      <w:rFonts w:asciiTheme="minorHAnsi" w:hAnsiTheme="minorHAnsi" w:eastAsiaTheme="minorEastAsia" w:cstheme="minorBidi"/>
    </w:rPr>
  </w:style>
  <w:style w:type="paragraph" w:customStyle="1" w:styleId="10">
    <w:name w:val="列出段落1"/>
    <w:basedOn w:val="1"/>
    <w:qFormat/>
    <w:uiPriority w:val="34"/>
    <w:pPr>
      <w:ind w:firstLine="420" w:firstLineChars="200"/>
    </w:pPr>
    <w:rPr>
      <w:rFonts w:ascii="Times New Roman" w:hAnsi="Times New Roman"/>
      <w:szCs w:val="24"/>
    </w:rPr>
  </w:style>
  <w:style w:type="paragraph" w:customStyle="1" w:styleId="11">
    <w:name w:val="标题 5（有编号）（绿盟科技）"/>
    <w:basedOn w:val="1"/>
    <w:next w:val="1"/>
    <w:qFormat/>
    <w:uiPriority w:val="0"/>
    <w:pPr>
      <w:keepNext/>
      <w:keepLines/>
      <w:widowControl/>
      <w:spacing w:before="280" w:after="156" w:line="377" w:lineRule="auto"/>
      <w:jc w:val="left"/>
      <w:outlineLvl w:val="4"/>
    </w:pPr>
    <w:rPr>
      <w:rFonts w:ascii="Arial" w:hAnsi="Arial" w:eastAsia="黑体"/>
      <w:b/>
      <w:kern w:val="0"/>
      <w:sz w:val="24"/>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180</Words>
  <Characters>1031</Characters>
  <Lines>8</Lines>
  <Paragraphs>2</Paragraphs>
  <TotalTime>4</TotalTime>
  <ScaleCrop>false</ScaleCrop>
  <LinksUpToDate>false</LinksUpToDate>
  <CharactersWithSpaces>1209</CharactersWithSpaces>
  <Application>WPS Office_11.8.2.10605_F1E327BC-269C-435d-A152-05C5408002CA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2023-08-29T10:48:00Z</dcterms:created>
  <dc:creator>June</dc:creator>
  <cp:lastModifiedBy>June</cp:lastModifiedBy>
  <cp:lastPrinted>2023-08-29T15:11:07Z</cp:lastPrinted>
  <dcterms:modified xsi:type="dcterms:W3CDTF">2023-08-29T17:18:44Z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2052-11.8.2.10605</vt:lpwstr>
  </property>
</Properties>
</file>